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D36AA" w14:textId="77777777" w:rsidR="00C85B05" w:rsidRDefault="00BE1439" w:rsidP="00BE1439">
      <w:pPr>
        <w:jc w:val="center"/>
      </w:pPr>
      <w:r w:rsidRPr="00606AD1">
        <w:rPr>
          <w:noProof/>
          <w:lang w:eastAsia="el-GR"/>
        </w:rPr>
        <w:drawing>
          <wp:inline distT="0" distB="0" distL="0" distR="0" wp14:anchorId="5669CC0F" wp14:editId="6D1AA57F">
            <wp:extent cx="1809750" cy="1173892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40" cy="117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70F58" w14:textId="77777777" w:rsidR="00BE1439" w:rsidRPr="00BB058E" w:rsidRDefault="00BE1439" w:rsidP="00BE1439">
      <w:pPr>
        <w:jc w:val="center"/>
        <w:rPr>
          <w:rFonts w:ascii="Segoe UI" w:hAnsi="Segoe UI" w:cs="Segoe UI"/>
          <w:color w:val="2F5496" w:themeColor="accent5" w:themeShade="BF"/>
          <w:sz w:val="18"/>
          <w:szCs w:val="18"/>
        </w:rPr>
      </w:pPr>
    </w:p>
    <w:p w14:paraId="620478E9" w14:textId="77777777" w:rsidR="00BE1439" w:rsidRPr="00BB058E" w:rsidRDefault="00BE1439" w:rsidP="00BE1439">
      <w:pPr>
        <w:jc w:val="center"/>
        <w:rPr>
          <w:rFonts w:ascii="Segoe UI" w:hAnsi="Segoe UI" w:cs="Segoe UI"/>
          <w:b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ΔΕΛΤΙΟ ΤΥΠΟΥ </w:t>
      </w:r>
    </w:p>
    <w:p w14:paraId="609F6998" w14:textId="31FC6503" w:rsidR="00223FFF" w:rsidRPr="00BB058E" w:rsidRDefault="00BE1439" w:rsidP="00E01619">
      <w:pPr>
        <w:ind w:left="720"/>
        <w:jc w:val="both"/>
        <w:rPr>
          <w:rFonts w:ascii="Segoe UI" w:hAnsi="Segoe UI" w:cs="Segoe UI"/>
          <w:b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Tην </w:t>
      </w:r>
      <w:r w:rsidR="00084107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>Τετάρτη 23 Μαρτίου 2022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, πραγματοποιήθηκε</w:t>
      </w:r>
      <w:r w:rsidR="00084107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διαδικτυακά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 </w:t>
      </w:r>
      <w:r w:rsidRPr="00BB058E">
        <w:rPr>
          <w:rFonts w:ascii="Segoe UI" w:hAnsi="Segoe UI" w:cs="Segoe UI"/>
          <w:b/>
          <w:bCs/>
          <w:color w:val="2F5496" w:themeColor="accent5" w:themeShade="BF"/>
          <w:sz w:val="18"/>
          <w:szCs w:val="18"/>
        </w:rPr>
        <w:t>η ετήσια Τακτική Γενική Συνέλευση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της «ΕΛΛΗΝΙΚΗΣ ΕΠΙΤΡΟΠΗΣ 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ECR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», στην οποία</w:t>
      </w:r>
      <w:r w:rsidR="00084107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συμμετείχαν περίπου 100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στελέχη των εται</w:t>
      </w:r>
      <w:r w:rsidR="00084107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ρειών μελών του Συνδέσμου. </w:t>
      </w:r>
      <w:r w:rsidR="008D0114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>Η κα</w:t>
      </w:r>
      <w:r w:rsidR="00084107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 Ζέτα </w:t>
      </w:r>
      <w:proofErr w:type="spellStart"/>
      <w:r w:rsidR="00084107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>Χειμωνίδου</w:t>
      </w:r>
      <w:proofErr w:type="spellEnd"/>
      <w:r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 </w:t>
      </w:r>
      <w:r w:rsidR="00084107" w:rsidRPr="00BB058E">
        <w:rPr>
          <w:rFonts w:ascii="Segoe UI" w:hAnsi="Segoe UI" w:cs="Segoe UI"/>
          <w:b/>
          <w:color w:val="2F5496" w:themeColor="accent5" w:themeShade="BF"/>
          <w:sz w:val="18"/>
          <w:szCs w:val="18"/>
          <w:lang w:val="en-US"/>
        </w:rPr>
        <w:t>VP</w:t>
      </w:r>
      <w:r w:rsidR="00084107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 </w:t>
      </w:r>
      <w:r w:rsidR="00084107" w:rsidRPr="00BB058E">
        <w:rPr>
          <w:rFonts w:ascii="Segoe UI" w:hAnsi="Segoe UI" w:cs="Segoe UI"/>
          <w:b/>
          <w:color w:val="2F5496" w:themeColor="accent5" w:themeShade="BF"/>
          <w:sz w:val="18"/>
          <w:szCs w:val="18"/>
          <w:lang w:val="en-US"/>
        </w:rPr>
        <w:t>Marketing</w:t>
      </w:r>
      <w:r w:rsidR="00084107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 &amp; </w:t>
      </w:r>
      <w:r w:rsidR="00084107" w:rsidRPr="00BB058E">
        <w:rPr>
          <w:rFonts w:ascii="Segoe UI" w:hAnsi="Segoe UI" w:cs="Segoe UI"/>
          <w:b/>
          <w:color w:val="2F5496" w:themeColor="accent5" w:themeShade="BF"/>
          <w:sz w:val="18"/>
          <w:szCs w:val="18"/>
          <w:lang w:val="en-US"/>
        </w:rPr>
        <w:t>Strategy</w:t>
      </w:r>
      <w:r w:rsidR="00E01619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 </w:t>
      </w:r>
      <w:r w:rsidR="00E01619" w:rsidRPr="00BB058E">
        <w:rPr>
          <w:rFonts w:ascii="Segoe UI" w:hAnsi="Segoe UI" w:cs="Segoe UI"/>
          <w:b/>
          <w:color w:val="2F5496" w:themeColor="accent5" w:themeShade="BF"/>
          <w:sz w:val="18"/>
          <w:szCs w:val="18"/>
          <w:lang w:val="en-US"/>
        </w:rPr>
        <w:t>Greece</w:t>
      </w:r>
      <w:r w:rsidR="00E01619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 ΑΒ ΒΑΣΙΛΟΠΟΥΛΟΣ </w:t>
      </w:r>
      <w:r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και Πρόεδρος του </w:t>
      </w:r>
      <w:r w:rsidRPr="00BB058E">
        <w:rPr>
          <w:rFonts w:ascii="Segoe UI" w:hAnsi="Segoe UI" w:cs="Segoe UI"/>
          <w:b/>
          <w:color w:val="2F5496" w:themeColor="accent5" w:themeShade="BF"/>
          <w:sz w:val="18"/>
          <w:szCs w:val="18"/>
          <w:lang w:val="en-US"/>
        </w:rPr>
        <w:t>ECR</w:t>
      </w:r>
      <w:r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 </w:t>
      </w:r>
      <w:r w:rsidRPr="00BB058E">
        <w:rPr>
          <w:rFonts w:ascii="Segoe UI" w:hAnsi="Segoe UI" w:cs="Segoe UI"/>
          <w:b/>
          <w:color w:val="2F5496" w:themeColor="accent5" w:themeShade="BF"/>
          <w:sz w:val="18"/>
          <w:szCs w:val="18"/>
          <w:lang w:val="en-US"/>
        </w:rPr>
        <w:t>Hellas</w:t>
      </w:r>
      <w:r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 από την πλευρά του λιανεμπορίου,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καλωσορίζοντας τα μέλη αναφέρθηκε </w:t>
      </w:r>
      <w:r w:rsidR="00E0161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σε μία 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α</w:t>
      </w:r>
      <w:r w:rsidR="00E0161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κόμη δύσκολη εποχή που 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ο </w:t>
      </w:r>
      <w:r w:rsidR="00E0161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κλάδος περνά</w:t>
      </w:r>
      <w:r w:rsidR="007C1A8C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,</w:t>
      </w:r>
      <w:r w:rsidR="00E0161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έχοντας να αντιμετωπίσει τα προβλήματα που προκύπτουν από την αύξηση του πληθωρισμού (ανατιμήσεις), το ενεργειακό κόστος, τις διαταραχές στην εφοδιαστική αλυσίδα, 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τον πρόσφατο πόλεμο, της επάρκειας όχι μόνο προϊόντων αλλά και υλικοτεχνικού υλικού, </w:t>
      </w:r>
      <w:r w:rsidR="00E0161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αλλά κυρίως στην πίεση και την αβεβαιότητα που αισθάνονται οι καταναλωτές.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Από τα δείγματα γραφής που ο κλάδος έχει δείξει και σε άλλες δύσκολες στιγμές, είναι σίγουρο ότι τόσο το λιανεμπόριο όσο και οι προμηθευτές θα κάνουν κάθε δυνατή προσπάθεια να διασφαλιστεί η επόμενη ημέρα και να στηριχθεί ο καταναλωτής. </w:t>
      </w:r>
    </w:p>
    <w:p w14:paraId="5EA2DC16" w14:textId="77777777" w:rsidR="00BA2688" w:rsidRPr="00BB058E" w:rsidRDefault="00BA2688" w:rsidP="00BA2688">
      <w:pPr>
        <w:ind w:left="720"/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>Ο</w:t>
      </w:r>
      <w:r w:rsidR="00D14996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 κος</w:t>
      </w:r>
      <w:r w:rsidR="00D14996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E01619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>Αλέξανδρος Δανιηλίδης, Διευθύνων Σύμβουλος ΑΘΗΝΑΪΚΗ ΖΥΘΟΠΟΙΙΑ</w:t>
      </w:r>
      <w:r w:rsidR="00D14996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 και Πρόεδρος του </w:t>
      </w:r>
      <w:r w:rsidR="00D14996" w:rsidRPr="00BB058E">
        <w:rPr>
          <w:rFonts w:ascii="Segoe UI" w:hAnsi="Segoe UI" w:cs="Segoe UI"/>
          <w:b/>
          <w:color w:val="2F5496" w:themeColor="accent5" w:themeShade="BF"/>
          <w:sz w:val="18"/>
          <w:szCs w:val="18"/>
          <w:lang w:val="en-US"/>
        </w:rPr>
        <w:t>ECR</w:t>
      </w:r>
      <w:r w:rsidR="00D14996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 </w:t>
      </w:r>
      <w:r w:rsidR="00D14996" w:rsidRPr="00BB058E">
        <w:rPr>
          <w:rFonts w:ascii="Segoe UI" w:hAnsi="Segoe UI" w:cs="Segoe UI"/>
          <w:b/>
          <w:color w:val="2F5496" w:themeColor="accent5" w:themeShade="BF"/>
          <w:sz w:val="18"/>
          <w:szCs w:val="18"/>
          <w:lang w:val="en-US"/>
        </w:rPr>
        <w:t>Hellas</w:t>
      </w:r>
      <w:r w:rsidR="00D14996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 από την πλευρά</w:t>
      </w:r>
      <w:r w:rsidR="00E01619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 των προμηθευτών</w:t>
      </w:r>
      <w:r w:rsidR="00E0161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αναφέρθηκε στις </w:t>
      </w:r>
      <w:r w:rsidR="009129D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ενέργειες που </w:t>
      </w:r>
      <w:r w:rsidR="00F505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υλοποιήθηκαν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το 2021 με σημαντικότερες την ολοκλήρωση του έργου τριών ομάδων εργασίας </w:t>
      </w:r>
      <w:r w:rsidR="00E0161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με θέματα όπως το 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Category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Growth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Management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, </w:t>
      </w:r>
      <w:r w:rsidR="009129D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τ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ο 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Digital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Retail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Models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of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the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Future</w:t>
      </w:r>
      <w:r w:rsidR="007E5C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9129D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και το </w:t>
      </w:r>
      <w:r w:rsidR="009129D9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Consumers</w:t>
      </w:r>
      <w:r w:rsidR="009129D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9129D9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Go</w:t>
      </w:r>
      <w:r w:rsidR="009129D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9129D9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Circular</w:t>
      </w:r>
      <w:r w:rsidR="009129D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με σημαντικά αποτελέσματα και υλικό που στάλθηκε σε όλα τα μέλη</w:t>
      </w:r>
      <w:r w:rsidR="007B3E5D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. </w:t>
      </w:r>
      <w:r w:rsidR="009129D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Κατόπιν αναφέρθηκε στις προγραμματισμένες ενέργειες </w:t>
      </w:r>
      <w:r w:rsidR="0097358D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για τη διετία 2022-2023 που αφορούν τρεις άξονες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:</w:t>
      </w:r>
      <w:r w:rsidR="0097358D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</w:p>
    <w:p w14:paraId="28E2191A" w14:textId="77777777" w:rsidR="00BA2688" w:rsidRPr="00BB058E" w:rsidRDefault="0097358D" w:rsidP="00BA2688">
      <w:pPr>
        <w:pStyle w:val="a3"/>
        <w:numPr>
          <w:ilvl w:val="0"/>
          <w:numId w:val="10"/>
        </w:num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την εκπαίδευση συνεχίζοντας τη συνεργασία του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ECR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Hellas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με το εργαστήριο 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ELTRUN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του Οικονομικού Πανεπιστημίου Αθηνών υλοποιώντας δύο ακόμη 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webinars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με θέματα </w:t>
      </w:r>
      <w:r w:rsidR="00B62F11" w:rsidRPr="00BB058E">
        <w:rPr>
          <w:rFonts w:ascii="Segoe UI" w:eastAsiaTheme="minorHAnsi" w:hAnsi="Segoe UI" w:cs="Segoe UI"/>
          <w:bCs/>
          <w:color w:val="2F5496" w:themeColor="accent5" w:themeShade="BF"/>
          <w:sz w:val="18"/>
          <w:szCs w:val="18"/>
          <w:lang w:val="en-US" w:eastAsia="en-US"/>
        </w:rPr>
        <w:t>Circular</w:t>
      </w:r>
      <w:r w:rsidR="00B62F11" w:rsidRPr="00BB058E">
        <w:rPr>
          <w:rFonts w:ascii="Segoe UI" w:eastAsiaTheme="minorHAnsi" w:hAnsi="Segoe UI" w:cs="Segoe UI"/>
          <w:bCs/>
          <w:color w:val="2F5496" w:themeColor="accent5" w:themeShade="BF"/>
          <w:sz w:val="18"/>
          <w:szCs w:val="18"/>
          <w:lang w:eastAsia="en-US"/>
        </w:rPr>
        <w:t xml:space="preserve"> </w:t>
      </w:r>
      <w:r w:rsidR="00B62F11" w:rsidRPr="00BB058E">
        <w:rPr>
          <w:rFonts w:ascii="Segoe UI" w:eastAsiaTheme="minorHAnsi" w:hAnsi="Segoe UI" w:cs="Segoe UI"/>
          <w:bCs/>
          <w:color w:val="2F5496" w:themeColor="accent5" w:themeShade="BF"/>
          <w:sz w:val="18"/>
          <w:szCs w:val="18"/>
          <w:lang w:val="en-US" w:eastAsia="en-US"/>
        </w:rPr>
        <w:t>Economy</w:t>
      </w:r>
      <w:r w:rsidR="00B62F11" w:rsidRPr="00BB058E">
        <w:rPr>
          <w:rFonts w:ascii="Segoe UI" w:eastAsiaTheme="minorHAnsi" w:hAnsi="Segoe UI" w:cs="Segoe UI"/>
          <w:bCs/>
          <w:color w:val="2F5496" w:themeColor="accent5" w:themeShade="BF"/>
          <w:sz w:val="18"/>
          <w:szCs w:val="18"/>
          <w:lang w:eastAsia="en-US"/>
        </w:rPr>
        <w:t xml:space="preserve"> &amp; </w:t>
      </w:r>
      <w:r w:rsidR="00B62F11" w:rsidRPr="00BB058E">
        <w:rPr>
          <w:rFonts w:ascii="Segoe UI" w:eastAsiaTheme="minorHAnsi" w:hAnsi="Segoe UI" w:cs="Segoe UI"/>
          <w:bCs/>
          <w:color w:val="2F5496" w:themeColor="accent5" w:themeShade="BF"/>
          <w:sz w:val="18"/>
          <w:szCs w:val="18"/>
          <w:lang w:val="en-US" w:eastAsia="en-US"/>
        </w:rPr>
        <w:t>Environmental</w:t>
      </w:r>
      <w:r w:rsidR="00B62F11" w:rsidRPr="00BB058E">
        <w:rPr>
          <w:rFonts w:ascii="Segoe UI" w:eastAsiaTheme="minorHAnsi" w:hAnsi="Segoe UI" w:cs="Segoe UI"/>
          <w:bCs/>
          <w:color w:val="2F5496" w:themeColor="accent5" w:themeShade="BF"/>
          <w:sz w:val="18"/>
          <w:szCs w:val="18"/>
          <w:lang w:eastAsia="en-US"/>
        </w:rPr>
        <w:t xml:space="preserve"> </w:t>
      </w:r>
      <w:r w:rsidR="00B62F11" w:rsidRPr="00BB058E">
        <w:rPr>
          <w:rFonts w:ascii="Segoe UI" w:eastAsiaTheme="minorHAnsi" w:hAnsi="Segoe UI" w:cs="Segoe UI"/>
          <w:bCs/>
          <w:color w:val="2F5496" w:themeColor="accent5" w:themeShade="BF"/>
          <w:sz w:val="18"/>
          <w:szCs w:val="18"/>
          <w:lang w:val="en-US" w:eastAsia="en-US"/>
        </w:rPr>
        <w:t>Sustainability</w:t>
      </w:r>
      <w:r w:rsidR="00B62F11" w:rsidRPr="00BB058E">
        <w:rPr>
          <w:rFonts w:ascii="Segoe UI" w:eastAsiaTheme="minorHAnsi" w:hAnsi="Segoe UI" w:cs="Segoe UI"/>
          <w:bCs/>
          <w:color w:val="2F5496" w:themeColor="accent5" w:themeShade="BF"/>
          <w:sz w:val="18"/>
          <w:szCs w:val="18"/>
          <w:lang w:eastAsia="en-US"/>
        </w:rPr>
        <w:t xml:space="preserve">  (01 &amp; 08. 06.2022)  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και </w:t>
      </w:r>
      <w:r w:rsidR="00B62F11" w:rsidRPr="00BB058E">
        <w:rPr>
          <w:rFonts w:ascii="Segoe UI" w:eastAsia="Calibri" w:hAnsi="Segoe UI" w:cs="Segoe UI"/>
          <w:bCs/>
          <w:color w:val="2F5496" w:themeColor="accent5" w:themeShade="BF"/>
          <w:sz w:val="18"/>
          <w:szCs w:val="18"/>
          <w:lang w:val="en-US"/>
        </w:rPr>
        <w:t>e</w:t>
      </w:r>
      <w:r w:rsidR="00B62F11" w:rsidRPr="00BB058E">
        <w:rPr>
          <w:rFonts w:ascii="Segoe UI" w:eastAsia="Calibri" w:hAnsi="Segoe UI" w:cs="Segoe UI"/>
          <w:bCs/>
          <w:color w:val="2F5496" w:themeColor="accent5" w:themeShade="BF"/>
          <w:sz w:val="18"/>
          <w:szCs w:val="18"/>
        </w:rPr>
        <w:t>-</w:t>
      </w:r>
      <w:r w:rsidR="00B62F11" w:rsidRPr="00BB058E">
        <w:rPr>
          <w:rFonts w:ascii="Segoe UI" w:eastAsia="Calibri" w:hAnsi="Segoe UI" w:cs="Segoe UI"/>
          <w:bCs/>
          <w:color w:val="2F5496" w:themeColor="accent5" w:themeShade="BF"/>
          <w:sz w:val="18"/>
          <w:szCs w:val="18"/>
          <w:lang w:val="en-US"/>
        </w:rPr>
        <w:t>Commerce</w:t>
      </w:r>
      <w:r w:rsidR="00B62F11" w:rsidRPr="00BB058E">
        <w:rPr>
          <w:rFonts w:ascii="Segoe UI" w:eastAsia="Calibri" w:hAnsi="Segoe UI" w:cs="Segoe UI"/>
          <w:bCs/>
          <w:color w:val="2F5496" w:themeColor="accent5" w:themeShade="BF"/>
          <w:sz w:val="18"/>
          <w:szCs w:val="18"/>
        </w:rPr>
        <w:t xml:space="preserve"> &amp; </w:t>
      </w:r>
      <w:r w:rsidR="00B62F11" w:rsidRPr="00BB058E">
        <w:rPr>
          <w:rFonts w:ascii="Segoe UI" w:eastAsia="Calibri" w:hAnsi="Segoe UI" w:cs="Segoe UI"/>
          <w:bCs/>
          <w:color w:val="2F5496" w:themeColor="accent5" w:themeShade="BF"/>
          <w:sz w:val="18"/>
          <w:szCs w:val="18"/>
          <w:lang w:val="en-US"/>
        </w:rPr>
        <w:t>Logistics</w:t>
      </w:r>
      <w:r w:rsidR="00B62F11" w:rsidRPr="00BB058E">
        <w:rPr>
          <w:rFonts w:ascii="Segoe UI" w:eastAsia="Calibri" w:hAnsi="Segoe UI" w:cs="Segoe UI"/>
          <w:bCs/>
          <w:color w:val="2F5496" w:themeColor="accent5" w:themeShade="BF"/>
          <w:sz w:val="18"/>
          <w:szCs w:val="18"/>
        </w:rPr>
        <w:t xml:space="preserve"> (22 &amp; 29. 09. 2022)</w:t>
      </w:r>
      <w:r w:rsidR="00BA2688"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. 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Παράλληλα, μέσα από την πλατφόρμα του 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ECR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Community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, δίνεται η δυνατότητα παρακολούθησης στις εταιρείες μέλη, ηλεκτρονικών σεμιναρίων (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webinars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) σε θέματα που ενδιαφέρουν την αγορά. </w:t>
      </w:r>
    </w:p>
    <w:p w14:paraId="04E9BD83" w14:textId="1455C872" w:rsidR="00BA2688" w:rsidRPr="00BB058E" w:rsidRDefault="00BA2688" w:rsidP="00E60823">
      <w:pPr>
        <w:pStyle w:val="a3"/>
        <w:numPr>
          <w:ilvl w:val="0"/>
          <w:numId w:val="10"/>
        </w:num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τις έρευνες έχοντας προγραμματίσει δύο έρευνες με θέματα 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  <w:lang w:val="en-US"/>
        </w:rPr>
        <w:t>Consumer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 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  <w:lang w:val="en-US"/>
        </w:rPr>
        <w:t>Trends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 &amp; 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  <w:lang w:val="en-US"/>
        </w:rPr>
        <w:t>Behavior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 σε τρεις διαστάσεις (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  <w:lang w:val="en-US"/>
        </w:rPr>
        <w:t>Health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 &amp; 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  <w:lang w:val="en-US"/>
        </w:rPr>
        <w:t>Wellness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, 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  <w:lang w:val="en-US"/>
        </w:rPr>
        <w:t>ESG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, Τρόπους και μέσα ενημέρωσης) και 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  <w:lang w:val="en-US"/>
        </w:rPr>
        <w:t>E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>-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  <w:lang w:val="en-US"/>
        </w:rPr>
        <w:t>commerce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 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  <w:lang w:val="en-US"/>
        </w:rPr>
        <w:t>supply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 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  <w:lang w:val="en-US"/>
        </w:rPr>
        <w:t>Chain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 </w:t>
      </w:r>
      <w:r w:rsidR="007C1A8C" w:rsidRPr="00BB058E">
        <w:rPr>
          <w:rFonts w:ascii="Segoe UI" w:hAnsi="Segoe UI" w:cs="Segoe UI"/>
          <w:bCs/>
          <w:color w:val="2F5496" w:themeColor="accent5" w:themeShade="BF"/>
          <w:sz w:val="18"/>
          <w:szCs w:val="18"/>
          <w:lang w:val="en-US"/>
        </w:rPr>
        <w:t>V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  <w:lang w:val="en-US"/>
        </w:rPr>
        <w:t>aluation</w:t>
      </w:r>
    </w:p>
    <w:p w14:paraId="1617ED82" w14:textId="77777777" w:rsidR="00BA2688" w:rsidRPr="00BB058E" w:rsidRDefault="00BA2688" w:rsidP="00BA2688">
      <w:pPr>
        <w:pStyle w:val="a3"/>
        <w:numPr>
          <w:ilvl w:val="0"/>
          <w:numId w:val="10"/>
        </w:num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τις νέες ομάδες εργασίας με θέματα 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  <w:lang w:val="en-US"/>
        </w:rPr>
        <w:t>Food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 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  <w:lang w:val="en-US"/>
        </w:rPr>
        <w:t>Waste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 και 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  <w:lang w:val="en-US"/>
        </w:rPr>
        <w:t>Future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 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  <w:lang w:val="en-US"/>
        </w:rPr>
        <w:t>Physical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 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  <w:lang w:val="en-US"/>
        </w:rPr>
        <w:t>Store</w:t>
      </w: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. </w:t>
      </w:r>
    </w:p>
    <w:p w14:paraId="2EFF606E" w14:textId="77777777" w:rsidR="009129D9" w:rsidRPr="00BB058E" w:rsidRDefault="009129D9" w:rsidP="00D14996">
      <w:pPr>
        <w:ind w:left="720"/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</w:p>
    <w:p w14:paraId="16232B63" w14:textId="35790A94" w:rsidR="00F0225E" w:rsidRPr="00BB058E" w:rsidRDefault="00B467D3" w:rsidP="00CA35F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Στη συνέχεια</w:t>
      </w:r>
      <w:r w:rsidR="00E43E5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,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ο κος </w:t>
      </w:r>
      <w:r w:rsidR="00BA2688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Παναγιώτης </w:t>
      </w:r>
      <w:proofErr w:type="spellStart"/>
      <w:r w:rsidR="00BA2688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>Μπορέτος</w:t>
      </w:r>
      <w:proofErr w:type="spellEnd"/>
      <w:r w:rsidR="00BA2688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, Διευθύνων Σύμβουλος </w:t>
      </w:r>
      <w:r w:rsidR="00BA2688" w:rsidRPr="00BB058E">
        <w:rPr>
          <w:rFonts w:ascii="Segoe UI" w:hAnsi="Segoe UI" w:cs="Segoe UI"/>
          <w:b/>
          <w:color w:val="2F5496" w:themeColor="accent5" w:themeShade="BF"/>
          <w:sz w:val="18"/>
          <w:szCs w:val="18"/>
          <w:lang w:val="en-US"/>
        </w:rPr>
        <w:t>IRI</w:t>
      </w:r>
      <w:r w:rsidR="00BA2688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 </w:t>
      </w:r>
      <w:r w:rsidR="00BA2688" w:rsidRPr="00BB058E">
        <w:rPr>
          <w:rFonts w:ascii="Segoe UI" w:hAnsi="Segoe UI" w:cs="Segoe UI"/>
          <w:b/>
          <w:color w:val="2F5496" w:themeColor="accent5" w:themeShade="BF"/>
          <w:sz w:val="18"/>
          <w:szCs w:val="18"/>
          <w:lang w:val="en-US"/>
        </w:rPr>
        <w:t>Greece</w:t>
      </w:r>
      <w:r w:rsidR="00BA2688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, </w:t>
      </w:r>
      <w:r w:rsidR="003D0FCC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σε μία παρουσίαση για τις τάσεις της αγοράς τις πρώτες εννέα εβδομάδες του χρόνου καθώς και για τις συνέπειες του </w:t>
      </w:r>
      <w:proofErr w:type="spellStart"/>
      <w:r w:rsidR="003D0FCC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πλθωρισμού</w:t>
      </w:r>
      <w:proofErr w:type="spellEnd"/>
      <w:r w:rsidR="003D0FCC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ανέφερε τα εξής:</w:t>
      </w:r>
    </w:p>
    <w:p w14:paraId="7F97A57B" w14:textId="62F2F8CD" w:rsidR="003D0FCC" w:rsidRPr="00BB058E" w:rsidRDefault="00F727E2" w:rsidP="003D0FC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Σε 25 μεγαλύτερες σε πωλήσεις </w:t>
      </w:r>
      <w:r w:rsidR="003D0FCC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κατηγορίες στα </w:t>
      </w:r>
      <w:r w:rsidR="003D0FCC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FMCG</w:t>
      </w:r>
      <w:r w:rsidR="003D0FCC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υπάρχει μία εξέλιξη της τάξης του 46,6%</w:t>
      </w:r>
      <w:r w:rsidR="00657AF6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και μία αύξηση τιμής της τάξης του 2,3%</w:t>
      </w:r>
    </w:p>
    <w:p w14:paraId="718F8321" w14:textId="5B9833B9" w:rsidR="003D0FCC" w:rsidRPr="00BB058E" w:rsidRDefault="003D0FCC" w:rsidP="003D0FC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Παρατηρείται </w:t>
      </w:r>
      <w:r w:rsidR="00F727E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μία αύξηση της τάξης του 15,9% στο μερίδιο αγοράς των </w:t>
      </w:r>
      <w:r w:rsidR="00F727E2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Private</w:t>
      </w:r>
      <w:r w:rsidR="00F727E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F727E2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Labels</w:t>
      </w:r>
      <w:r w:rsidR="00F727E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έναντι 14,9% στην αντίστοιχη περίοδο του 2021</w:t>
      </w:r>
    </w:p>
    <w:p w14:paraId="356AC1C3" w14:textId="0B5B52BD" w:rsidR="00F727E2" w:rsidRPr="00BB058E" w:rsidRDefault="007C1A8C" w:rsidP="003D0FC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Την</w:t>
      </w:r>
      <w:r w:rsidR="00F727E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πρώτη εβδομάδα του Μαρτίου καταγράφηκε μία αύξηση πωλήσεων 21,1% για τα προϊόντα </w:t>
      </w:r>
      <w:r w:rsidR="00F727E2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FMCG</w:t>
      </w:r>
      <w:r w:rsidR="00F727E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ενώ τα </w:t>
      </w:r>
      <w:r w:rsidR="00F727E2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Private</w:t>
      </w:r>
      <w:r w:rsidR="00F727E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F727E2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Label</w:t>
      </w:r>
      <w:r w:rsidR="00F727E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κατέγραψαν αύξηση 43,5% το ίδιο χρονικό διάστημα</w:t>
      </w:r>
    </w:p>
    <w:p w14:paraId="607314EE" w14:textId="149A9EDE" w:rsidR="004B479E" w:rsidRPr="00BB058E" w:rsidRDefault="00657AF6" w:rsidP="003D0FC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Με την προϋπόθεση της διατήρησης των</w:t>
      </w:r>
      <w:r w:rsidR="00F727E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τιμών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στα επίπεδα του 2021 προβλέπεται μία πτωτική τάση στην αξία των πωλήσεων το 2022</w:t>
      </w:r>
    </w:p>
    <w:p w14:paraId="3880A389" w14:textId="7A0363E7" w:rsidR="00657AF6" w:rsidRPr="00BB058E" w:rsidRDefault="00657AF6" w:rsidP="003D0FC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Η καμπύλη της ζήτησης θα διαμορφωθεί από </w:t>
      </w:r>
      <w:r w:rsidR="00BA540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την ένταση μεταξύ ορθολογισμού και πραγματικότητας όπως την αντιλαμβάνεται ο καταναλωτής</w:t>
      </w:r>
    </w:p>
    <w:p w14:paraId="6F1C7FB0" w14:textId="53CE2ACF" w:rsidR="00BA5409" w:rsidRPr="00BB058E" w:rsidRDefault="00BA5409" w:rsidP="003D0FC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Οι στρατηγικές μείωσης του πληθωρισμού πρέπει να λαμβάνουν υπόψη</w:t>
      </w:r>
      <w:r w:rsidR="00CF11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πέρα από τον επανασχεδιασμό συσκευασιών κι άλλες στρατηγικές επιλογές ανάπτυξης όπως η εμπιστοσύνη, το </w:t>
      </w:r>
      <w:r w:rsidR="00CF11BF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brand</w:t>
      </w:r>
      <w:r w:rsidR="00CF11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CF11BF"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equity</w:t>
      </w:r>
      <w:r w:rsidR="00CF11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, </w:t>
      </w:r>
      <w:r w:rsidR="007C1A8C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τ</w:t>
      </w:r>
      <w:r w:rsidR="00CF11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η</w:t>
      </w:r>
      <w:r w:rsidR="007C1A8C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ν καινοτομία, τη</w:t>
      </w:r>
      <w:r w:rsidR="00CF11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βιωσιμότητα</w:t>
      </w:r>
    </w:p>
    <w:p w14:paraId="31D79EBD" w14:textId="34ADD4C0" w:rsidR="00F52E79" w:rsidRPr="00BB058E" w:rsidRDefault="00F727E2" w:rsidP="00F52E7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Ο πληθωρισμό</w:t>
      </w:r>
      <w:r w:rsidR="00BB058E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ς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που καταγράφεται είναι ένας </w:t>
      </w:r>
      <w:r w:rsidR="00F52E7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ατελής πληθωρισμός και 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αυτό είναι που τον 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lastRenderedPageBreak/>
        <w:t>διαφοροποιεί από αυξήσεις του πληθωρισμού παλαιότερα</w:t>
      </w:r>
    </w:p>
    <w:p w14:paraId="37F1749B" w14:textId="26CA0038" w:rsidR="00F52E79" w:rsidRPr="00BB058E" w:rsidRDefault="00F52E79" w:rsidP="00F52E7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Οι προβλέψεις δείχνουν ότι οι επιπτώσεις του πληθωρισμού δεν θα είναι κάτι προσωρινό</w:t>
      </w:r>
    </w:p>
    <w:p w14:paraId="096A0901" w14:textId="766EB7FA" w:rsidR="00F52E79" w:rsidRPr="00BB058E" w:rsidRDefault="00F52E79" w:rsidP="00F52E7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Οι καταναλωτές δεν αναγνωρίζουν τις οριακές αυξήσεις στις τιμές, χρειάζονται «</w:t>
      </w:r>
      <w:proofErr w:type="spellStart"/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Sticker</w:t>
      </w:r>
      <w:proofErr w:type="spellEnd"/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proofErr w:type="spellStart"/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Shock</w:t>
      </w:r>
      <w:proofErr w:type="spellEnd"/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» και συνήθως παίρνει 9-12 μήνες πριν αλλάξει η αγοραστική και καταναλωτική συμπεριφορά τους</w:t>
      </w:r>
    </w:p>
    <w:p w14:paraId="39CEBCF8" w14:textId="02F5DF63" w:rsidR="00F52E79" w:rsidRPr="00BB058E" w:rsidRDefault="004C45FB" w:rsidP="00F727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Η διερεύνηση της </w:t>
      </w:r>
      <w:r w:rsidR="00F52E7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ικανότητ</w:t>
      </w:r>
      <w:r w:rsidR="00F727E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ας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και της προθυμίας </w:t>
      </w:r>
      <w:r w:rsidR="00F52E7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του καταναλωτή να αγοράσει 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και </w:t>
      </w:r>
      <w:r w:rsidR="00F52E7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να ξοδέψει</w:t>
      </w:r>
      <w:r w:rsidR="0084633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,</w:t>
      </w:r>
      <w:r w:rsidR="00F52E7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είναι ένα καλό μέτρο του εύρους της αλλαγή</w:t>
      </w:r>
      <w:r w:rsidR="00F727E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ς που είναι πιθανό ν</w:t>
      </w:r>
      <w:r w:rsidR="00BB058E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α δούμε στην αγοραστική</w:t>
      </w:r>
      <w:r w:rsidR="00F727E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F52E7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και</w:t>
      </w:r>
      <w:r w:rsidR="00F727E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καταναλωτική συμπεριφορά</w:t>
      </w:r>
    </w:p>
    <w:p w14:paraId="6649BD97" w14:textId="3BA1FB3F" w:rsidR="00F52E79" w:rsidRPr="00BB058E" w:rsidRDefault="00FA59ED" w:rsidP="00FA59E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Τα 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p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remium, </w:t>
      </w:r>
      <w:proofErr w:type="spellStart"/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mainstream</w:t>
      </w:r>
      <w:proofErr w:type="spellEnd"/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και </w:t>
      </w:r>
      <w:proofErr w:type="spellStart"/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private</w:t>
      </w:r>
      <w:proofErr w:type="spellEnd"/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proofErr w:type="spellStart"/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l</w:t>
      </w:r>
      <w:r w:rsidR="00F52E7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abels</w:t>
      </w:r>
      <w:proofErr w:type="spellEnd"/>
      <w:r w:rsidR="00F52E79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προϊόντα είναι εξίσου ευάλωτα</w:t>
      </w:r>
    </w:p>
    <w:p w14:paraId="7FC027E2" w14:textId="72D66ED3" w:rsidR="00F52E79" w:rsidRPr="00BB058E" w:rsidRDefault="00F52E79" w:rsidP="00FA59E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Η απόλυτη αδυναμία χρήσης δοκιμασμέν</w:t>
      </w:r>
      <w:r w:rsidR="00FA59ED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ων μοντέλων πρόβλεψης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δυσχεραίνει τη</w:t>
      </w:r>
      <w:r w:rsidR="00FA59ED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λήψη αποφάσεων και την υλοποίηση ενέργειων από την πλευρά των προμηθευτών και των </w:t>
      </w:r>
      <w:proofErr w:type="spellStart"/>
      <w:r w:rsidR="00FA59ED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λιανεμπόρων</w:t>
      </w:r>
      <w:proofErr w:type="spellEnd"/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</w:p>
    <w:p w14:paraId="09C70244" w14:textId="04D31EC2" w:rsidR="00F52E79" w:rsidRPr="00BB058E" w:rsidRDefault="00F52E79" w:rsidP="00F52E7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Οι μάρκες υψηλής απόδοσης που έχουν προσφέρει εξαιρετικές επιδόσεις σε </w:t>
      </w:r>
      <w:r w:rsidR="0084633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πληθωριστικά δύσκολες εποχές εφαρμόζουν επιχειρηματικές 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στρατηγικές </w:t>
      </w:r>
      <w:r w:rsidR="0084633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σύντομης προσαρμογής σε βραχυπρόθεσμες δράσεις χωρίς να χάνουν τη συνοχή με τις μακροπρόθεσμες στρατηγικές τους</w:t>
      </w:r>
    </w:p>
    <w:p w14:paraId="5E443D1F" w14:textId="77777777" w:rsidR="00F0225E" w:rsidRPr="00BB058E" w:rsidRDefault="00F0225E" w:rsidP="00100E0D">
      <w:p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</w:p>
    <w:p w14:paraId="7AE9A507" w14:textId="4E2AF91B" w:rsidR="004F2224" w:rsidRPr="00BB058E" w:rsidRDefault="00E43E59" w:rsidP="00CA35FF">
      <w:p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Ο </w:t>
      </w:r>
      <w:r w:rsidR="00F505BF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κος Παναγιώτης </w:t>
      </w:r>
      <w:proofErr w:type="spellStart"/>
      <w:r w:rsidR="00F505BF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>Γκεζερλής</w:t>
      </w:r>
      <w:proofErr w:type="spellEnd"/>
      <w:r w:rsidR="00F505BF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, Διευθύνων Σύμβουλος </w:t>
      </w:r>
      <w:r w:rsidR="00F505BF" w:rsidRPr="00BB058E">
        <w:rPr>
          <w:rFonts w:ascii="Segoe UI" w:hAnsi="Segoe UI" w:cs="Segoe UI"/>
          <w:b/>
          <w:color w:val="2F5496" w:themeColor="accent5" w:themeShade="BF"/>
          <w:sz w:val="18"/>
          <w:szCs w:val="18"/>
          <w:lang w:val="en-US"/>
        </w:rPr>
        <w:t>Convert</w:t>
      </w:r>
      <w:r w:rsidR="00F505BF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 </w:t>
      </w:r>
      <w:r w:rsidR="00F505BF" w:rsidRPr="00BB058E">
        <w:rPr>
          <w:rFonts w:ascii="Segoe UI" w:hAnsi="Segoe UI" w:cs="Segoe UI"/>
          <w:b/>
          <w:color w:val="2F5496" w:themeColor="accent5" w:themeShade="BF"/>
          <w:sz w:val="18"/>
          <w:szCs w:val="18"/>
          <w:lang w:val="en-US"/>
        </w:rPr>
        <w:t>Group</w:t>
      </w:r>
      <w:r w:rsidR="00F505BF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="003917C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ανέφερε τα εξής:</w:t>
      </w:r>
    </w:p>
    <w:p w14:paraId="61A35793" w14:textId="2FF47AD2" w:rsidR="003917C2" w:rsidRPr="00BB058E" w:rsidRDefault="003917C2" w:rsidP="003917C2">
      <w:pPr>
        <w:pStyle w:val="a3"/>
        <w:numPr>
          <w:ilvl w:val="0"/>
          <w:numId w:val="11"/>
        </w:num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Είδαμε αύξηση 68% στην αξία πωλήσεων στα ηλεκτρονικά 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SM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(συγκριτικά με το 2020) και 34% τους τελευταίους 12 μήνες</w:t>
      </w:r>
    </w:p>
    <w:p w14:paraId="32A6C033" w14:textId="455F1014" w:rsidR="003917C2" w:rsidRPr="00BB058E" w:rsidRDefault="003917C2" w:rsidP="003917C2">
      <w:pPr>
        <w:pStyle w:val="a3"/>
        <w:numPr>
          <w:ilvl w:val="0"/>
          <w:numId w:val="11"/>
        </w:num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Παρατηρήθηκε μία πτώση της τάξης του 3,7% στο πρώτο τρίμηνο του 2022</w:t>
      </w:r>
    </w:p>
    <w:p w14:paraId="5118A879" w14:textId="380DBD76" w:rsidR="003917C2" w:rsidRPr="00BB058E" w:rsidRDefault="003917C2" w:rsidP="003917C2">
      <w:pPr>
        <w:pStyle w:val="a3"/>
        <w:numPr>
          <w:ilvl w:val="0"/>
          <w:numId w:val="11"/>
        </w:num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Το 3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  <w:vertAlign w:val="superscript"/>
        </w:rPr>
        <w:t>ο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σε πωλήσεις on </w:t>
      </w:r>
      <w:proofErr w:type="spellStart"/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line</w:t>
      </w:r>
      <w:proofErr w:type="spellEnd"/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proofErr w:type="spellStart"/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sm</w:t>
      </w:r>
      <w:proofErr w:type="spellEnd"/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δεν υπήρχε πέρυσι</w:t>
      </w:r>
    </w:p>
    <w:p w14:paraId="3F62456A" w14:textId="033F1F18" w:rsidR="003917C2" w:rsidRPr="00BB058E" w:rsidRDefault="003917C2" w:rsidP="003917C2">
      <w:pPr>
        <w:pStyle w:val="a3"/>
        <w:numPr>
          <w:ilvl w:val="0"/>
          <w:numId w:val="11"/>
        </w:num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Το 94% των καλαθιών περιλαμβάνουν πλέον φρέσκα προϊόντα</w:t>
      </w:r>
    </w:p>
    <w:p w14:paraId="56EA0488" w14:textId="75B76B05" w:rsidR="008407FC" w:rsidRPr="00BB058E" w:rsidRDefault="008407FC" w:rsidP="003917C2">
      <w:pPr>
        <w:pStyle w:val="a3"/>
        <w:numPr>
          <w:ilvl w:val="0"/>
          <w:numId w:val="11"/>
        </w:num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Η άνοδος του 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quick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commerce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είναι αλματώδης</w:t>
      </w:r>
    </w:p>
    <w:p w14:paraId="2033EE06" w14:textId="517D6CE4" w:rsidR="003917C2" w:rsidRPr="00BB058E" w:rsidRDefault="008407FC" w:rsidP="003917C2">
      <w:pPr>
        <w:pStyle w:val="a3"/>
        <w:numPr>
          <w:ilvl w:val="0"/>
          <w:numId w:val="11"/>
        </w:num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Οι ερωτήσεις που θα πρέπει οι επιχειρήσεις να απαντήσουν </w:t>
      </w:r>
      <w:r w:rsidR="003252F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όσον αφορά στο ηλεκτρονικό εμπόριο 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σχετίζονται με το σωστό υπολογισμό των ηλεκτρονικών τους πωλήσεων σε σχέση με τις συνολικές πωλήσεις, με την εικόνα του ηλεκτρονικού ραφιού αλλά και των προϊόντων </w:t>
      </w:r>
      <w:proofErr w:type="spellStart"/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σ’αυτό</w:t>
      </w:r>
      <w:proofErr w:type="spellEnd"/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καθώς και τη σχέση που έχουν με τα 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marketplaces</w:t>
      </w:r>
    </w:p>
    <w:p w14:paraId="5737450B" w14:textId="77777777" w:rsidR="00142B8C" w:rsidRPr="00BB058E" w:rsidRDefault="00142B8C" w:rsidP="00142B8C">
      <w:pPr>
        <w:pStyle w:val="a3"/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</w:p>
    <w:p w14:paraId="706CE46B" w14:textId="77777777" w:rsidR="00681444" w:rsidRPr="00BB058E" w:rsidRDefault="003B1339" w:rsidP="00100E0D">
      <w:pPr>
        <w:jc w:val="both"/>
        <w:rPr>
          <w:rFonts w:ascii="Segoe UI" w:hAnsi="Segoe UI" w:cs="Segoe UI"/>
          <w:bCs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Κλείνοντας την ενότητα των παρουσιάσεων ο κος </w:t>
      </w:r>
      <w:r w:rsidR="00681444" w:rsidRPr="00BB058E">
        <w:rPr>
          <w:rFonts w:ascii="Segoe UI" w:hAnsi="Segoe UI" w:cs="Segoe UI"/>
          <w:b/>
          <w:color w:val="2F5496" w:themeColor="accent5" w:themeShade="BF"/>
          <w:sz w:val="18"/>
          <w:szCs w:val="18"/>
        </w:rPr>
        <w:t xml:space="preserve">Λευτέρης Κιοσές,  Γενικός Διευθυντής του ΙΕΛΚΑ </w:t>
      </w:r>
      <w:r w:rsidR="00681444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(Ινστιτούτο Έρευνας Λιανεμπορίου Καταναλωτικών Αγαθών), παρουσίασε αποτελέσματα από την </w:t>
      </w:r>
      <w:r w:rsidR="00681444" w:rsidRPr="00BB058E">
        <w:rPr>
          <w:rFonts w:ascii="Segoe UI" w:hAnsi="Segoe UI" w:cs="Segoe UI"/>
          <w:bCs/>
          <w:color w:val="2F5496" w:themeColor="accent5" w:themeShade="BF"/>
          <w:sz w:val="18"/>
          <w:szCs w:val="18"/>
        </w:rPr>
        <w:t xml:space="preserve">Ετήσια Έρευνα Καταναλωτών ΙΕΛΚΑ Οι κυριότερες καταγραφόμενες τάσεις είναι: </w:t>
      </w:r>
    </w:p>
    <w:p w14:paraId="547D61DE" w14:textId="31AD1C85" w:rsidR="004F2224" w:rsidRPr="00BB058E" w:rsidRDefault="00142B8C" w:rsidP="00142B8C">
      <w:pPr>
        <w:pStyle w:val="a3"/>
        <w:numPr>
          <w:ilvl w:val="0"/>
          <w:numId w:val="11"/>
        </w:num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Θετική άποψη των καταναλωτών (57%) για το χειρισμό της πανδημίας από τα 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SM</w:t>
      </w:r>
    </w:p>
    <w:p w14:paraId="592BE53E" w14:textId="53C73C52" w:rsidR="00142B8C" w:rsidRPr="00BB058E" w:rsidRDefault="006C4E6A" w:rsidP="00142B8C">
      <w:pPr>
        <w:pStyle w:val="a3"/>
        <w:numPr>
          <w:ilvl w:val="0"/>
          <w:numId w:val="11"/>
        </w:num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Η κατανομή των δαπανών του καταναλωτή στο 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S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Μ (59%)</w:t>
      </w:r>
      <w:r w:rsidR="003252F2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είναι υψηλότερη σε σχέση με άλλες αγορές (41%)</w:t>
      </w:r>
    </w:p>
    <w:p w14:paraId="4E5EAD52" w14:textId="6310A4FD" w:rsidR="006C4E6A" w:rsidRPr="00BB058E" w:rsidRDefault="006C4E6A" w:rsidP="00142B8C">
      <w:pPr>
        <w:pStyle w:val="a3"/>
        <w:numPr>
          <w:ilvl w:val="0"/>
          <w:numId w:val="11"/>
        </w:num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Οι καταναλωτές θεωρούν ότι θα πληρώνουν λίγο παραπάνω για να αγοράζουν λιγότερα πράγματα</w:t>
      </w:r>
    </w:p>
    <w:p w14:paraId="23ED5633" w14:textId="6915798D" w:rsidR="006C4E6A" w:rsidRPr="00BB058E" w:rsidRDefault="006C4E6A" w:rsidP="00142B8C">
      <w:pPr>
        <w:pStyle w:val="a3"/>
        <w:numPr>
          <w:ilvl w:val="0"/>
          <w:numId w:val="11"/>
        </w:num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Υπάρχει παγίωση του κινητικού καταναλωτή με το 46% αυτών να δηλώνουν ότι δεν έχουν μία κύρια αλυσίδα ή έχουν μία κύρια και περισσότερες συμπληρωματικές</w:t>
      </w:r>
    </w:p>
    <w:p w14:paraId="77E50111" w14:textId="2316133F" w:rsidR="006C4E6A" w:rsidRPr="00BB058E" w:rsidRDefault="006C4E6A" w:rsidP="00142B8C">
      <w:pPr>
        <w:pStyle w:val="a3"/>
        <w:numPr>
          <w:ilvl w:val="0"/>
          <w:numId w:val="11"/>
        </w:num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Ο κύριος παράγοντας επιλογής </w:t>
      </w:r>
      <w:r w:rsidR="00336DD7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προϊόντων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αυτή τη στιγμή είναι τα χρήματα</w:t>
      </w:r>
    </w:p>
    <w:p w14:paraId="20ED1BC6" w14:textId="4FD74759" w:rsidR="00336DD7" w:rsidRPr="00BB058E" w:rsidRDefault="00336DD7" w:rsidP="00142B8C">
      <w:pPr>
        <w:pStyle w:val="a3"/>
        <w:numPr>
          <w:ilvl w:val="0"/>
          <w:numId w:val="11"/>
        </w:num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Όσον αφορά τις </w:t>
      </w:r>
      <w:r w:rsidR="0096586D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διατροφικές τάσεις έχουμε ανάδειξη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των 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  <w:lang w:val="en-US"/>
        </w:rPr>
        <w:t>flexiterians</w:t>
      </w: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(26%)</w:t>
      </w:r>
      <w:r w:rsidR="0096586D"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 ενώ το 68% ακολουθεί πλήρη διατροφή</w:t>
      </w:r>
    </w:p>
    <w:p w14:paraId="10D9140D" w14:textId="42488C05" w:rsidR="0096586D" w:rsidRPr="00BB058E" w:rsidRDefault="0096586D" w:rsidP="00142B8C">
      <w:pPr>
        <w:pStyle w:val="a3"/>
        <w:numPr>
          <w:ilvl w:val="0"/>
          <w:numId w:val="11"/>
        </w:num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>Υπάρχει μία εξοικονόμηση χρημάτων της τάξης 13,2% που συνδέεται με τις προσφορές ενώ πηγές πληροφόρησης παραμένουν κυρίως τα φυλλάδια και η τηλεόραση</w:t>
      </w:r>
    </w:p>
    <w:p w14:paraId="1C65E110" w14:textId="762BD48F" w:rsidR="007B3E5D" w:rsidRPr="00BB058E" w:rsidRDefault="0096586D" w:rsidP="003D2373">
      <w:pPr>
        <w:pStyle w:val="a3"/>
        <w:numPr>
          <w:ilvl w:val="0"/>
          <w:numId w:val="11"/>
        </w:numPr>
        <w:jc w:val="both"/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BB058E">
        <w:rPr>
          <w:rFonts w:ascii="Segoe UI" w:hAnsi="Segoe UI" w:cs="Segoe UI"/>
          <w:color w:val="2F5496" w:themeColor="accent5" w:themeShade="BF"/>
          <w:sz w:val="18"/>
          <w:szCs w:val="18"/>
        </w:rPr>
        <w:t xml:space="preserve">Υπάρχει μία ανάκαμψη στην περιβαλλοντική ευαισθητοποίηση των καταναλωτών ενώ βλέπουν θετικά τη χρήση ενός εγγυοδοτικού συστήματος ανακύκλωσης </w:t>
      </w:r>
    </w:p>
    <w:p w14:paraId="26C05F38" w14:textId="77777777" w:rsidR="003D2373" w:rsidRPr="00BB058E" w:rsidRDefault="003D2373" w:rsidP="003D2373">
      <w:pPr>
        <w:rPr>
          <w:sz w:val="18"/>
          <w:szCs w:val="18"/>
        </w:rPr>
      </w:pPr>
      <w:bookmarkStart w:id="0" w:name="_GoBack"/>
      <w:bookmarkEnd w:id="0"/>
    </w:p>
    <w:sectPr w:rsidR="003D2373" w:rsidRPr="00BB058E" w:rsidSect="003D2373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81"/>
    <w:multiLevelType w:val="hybridMultilevel"/>
    <w:tmpl w:val="70DC474E"/>
    <w:lvl w:ilvl="0" w:tplc="ECD65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49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C3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C3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42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C0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AF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C2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2B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2B54FE"/>
    <w:multiLevelType w:val="hybridMultilevel"/>
    <w:tmpl w:val="A34AEF6E"/>
    <w:lvl w:ilvl="0" w:tplc="F648C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AA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98EE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867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21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FCF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5E8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274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6CEC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E593E06"/>
    <w:multiLevelType w:val="hybridMultilevel"/>
    <w:tmpl w:val="D58E5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0C0C"/>
    <w:multiLevelType w:val="hybridMultilevel"/>
    <w:tmpl w:val="AB22A4EC"/>
    <w:lvl w:ilvl="0" w:tplc="5CACC7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4B2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0C6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1438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6E1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90FF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8C65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4270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43D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370882"/>
    <w:multiLevelType w:val="hybridMultilevel"/>
    <w:tmpl w:val="11729EC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7C44D6"/>
    <w:multiLevelType w:val="hybridMultilevel"/>
    <w:tmpl w:val="303E2DA4"/>
    <w:lvl w:ilvl="0" w:tplc="6ED20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C4E6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25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E00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6F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EA5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60D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7CD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3E47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F439A0"/>
    <w:multiLevelType w:val="hybridMultilevel"/>
    <w:tmpl w:val="EEBE933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FD6345"/>
    <w:multiLevelType w:val="hybridMultilevel"/>
    <w:tmpl w:val="408E18A8"/>
    <w:lvl w:ilvl="0" w:tplc="CDDE356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C247A"/>
    <w:multiLevelType w:val="hybridMultilevel"/>
    <w:tmpl w:val="2452CF38"/>
    <w:lvl w:ilvl="0" w:tplc="55CA9CB6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04E4C0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CBCA6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AE7A6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06118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E903C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65954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AF94E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40B50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66832F4"/>
    <w:multiLevelType w:val="hybridMultilevel"/>
    <w:tmpl w:val="56321D4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EE2AFA"/>
    <w:multiLevelType w:val="hybridMultilevel"/>
    <w:tmpl w:val="1B10B164"/>
    <w:lvl w:ilvl="0" w:tplc="618A4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39"/>
    <w:rsid w:val="00075B55"/>
    <w:rsid w:val="00084107"/>
    <w:rsid w:val="00100E0D"/>
    <w:rsid w:val="00142B8C"/>
    <w:rsid w:val="0015784F"/>
    <w:rsid w:val="001C5486"/>
    <w:rsid w:val="00223FFF"/>
    <w:rsid w:val="002A0788"/>
    <w:rsid w:val="003252F2"/>
    <w:rsid w:val="00336DD7"/>
    <w:rsid w:val="003917C2"/>
    <w:rsid w:val="003B1339"/>
    <w:rsid w:val="003D0FCC"/>
    <w:rsid w:val="003D2373"/>
    <w:rsid w:val="003D3EBF"/>
    <w:rsid w:val="004B479E"/>
    <w:rsid w:val="004C45FB"/>
    <w:rsid w:val="004D7A77"/>
    <w:rsid w:val="004F2224"/>
    <w:rsid w:val="00501E09"/>
    <w:rsid w:val="005A25FC"/>
    <w:rsid w:val="00657AF6"/>
    <w:rsid w:val="00681444"/>
    <w:rsid w:val="00692DBB"/>
    <w:rsid w:val="006C4E6A"/>
    <w:rsid w:val="00765501"/>
    <w:rsid w:val="007B3E5D"/>
    <w:rsid w:val="007C1A8C"/>
    <w:rsid w:val="007C6068"/>
    <w:rsid w:val="007E5CBF"/>
    <w:rsid w:val="008407FC"/>
    <w:rsid w:val="00846332"/>
    <w:rsid w:val="008D0114"/>
    <w:rsid w:val="009129D9"/>
    <w:rsid w:val="0096586D"/>
    <w:rsid w:val="0097358D"/>
    <w:rsid w:val="00B467D3"/>
    <w:rsid w:val="00B62F11"/>
    <w:rsid w:val="00BA2688"/>
    <w:rsid w:val="00BA5409"/>
    <w:rsid w:val="00BB058E"/>
    <w:rsid w:val="00BE1439"/>
    <w:rsid w:val="00C85B05"/>
    <w:rsid w:val="00CA0D9F"/>
    <w:rsid w:val="00CA35FF"/>
    <w:rsid w:val="00CF11BF"/>
    <w:rsid w:val="00D14996"/>
    <w:rsid w:val="00D76677"/>
    <w:rsid w:val="00E01619"/>
    <w:rsid w:val="00E43E59"/>
    <w:rsid w:val="00EF65C1"/>
    <w:rsid w:val="00F0225E"/>
    <w:rsid w:val="00F25629"/>
    <w:rsid w:val="00F505BF"/>
    <w:rsid w:val="00F52E79"/>
    <w:rsid w:val="00F727E2"/>
    <w:rsid w:val="00FA59ED"/>
    <w:rsid w:val="00FC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D63E"/>
  <w15:chartTrackingRefBased/>
  <w15:docId w15:val="{FDEE938C-CD91-40A5-B8A7-3889D76B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A0D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8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7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9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8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986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Zoe.Tsagrasoulis</dc:creator>
  <cp:keywords/>
  <dc:description/>
  <cp:lastModifiedBy>Zoe.Tsagrassouli</cp:lastModifiedBy>
  <cp:revision>8</cp:revision>
  <dcterms:created xsi:type="dcterms:W3CDTF">2022-03-24T08:57:00Z</dcterms:created>
  <dcterms:modified xsi:type="dcterms:W3CDTF">2022-03-28T06:43:00Z</dcterms:modified>
</cp:coreProperties>
</file>